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Calibri" w:cs="Calibri" w:eastAsia="Calibri" w:hAnsi="Calibri"/>
          <w:b/>
          <w:bCs/>
          <w:color w:val="000000"/>
          <w:sz w:val="46"/>
          <w:szCs w:val="46"/>
        </w:rPr>
        <w:t xml:space="preserve">Marlene Arroyo</w:t>
      </w:r>
    </w:p>
    <w:p>
      <w:pPr>
        <w:spacing w:before="0" w:after="6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marlenearroyo10@gmail.com  ∙  (650) 276-9548  ∙  San Luis Obispo, CA  ∙  linkedin.com/in/marlene-arroyo</w:t>
      </w:r>
    </w:p>
    <w:p>
      <w:pPr>
        <w:pBdr>
          <w:bottom w:val="single" w:color="000000" w:sz="6" w:space="5"/>
        </w:pBdr>
        <w:spacing w:before="180" w:after="70"/>
      </w:pPr>
      <w:r>
        <w:rPr>
          <w:rFonts w:ascii="Calibri" w:cs="Calibri" w:eastAsia="Calibri" w:hAnsi="Calibri"/>
          <w:b/>
          <w:bCs/>
          <w:caps/>
          <w:spacing w:val="30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Strategic communications professional with a track record of building brand presence, driving measurable engagement, and adapting messaging across platforms and audiences. Equally at home crafting a content calendar, managing a live news cycle, or developing a speaker series from scratch. Bilingual (English/Spanish) with a sharp editorial eye and a genuine passion for work that connects people to something larger than themselves.</w:t>
      </w:r>
    </w:p>
    <w:p>
      <w:pPr>
        <w:pBdr>
          <w:bottom w:val="single" w:color="000000" w:sz="6" w:space="5"/>
        </w:pBdr>
        <w:spacing w:before="180" w:after="70"/>
      </w:pPr>
      <w:r>
        <w:rPr>
          <w:rFonts w:ascii="Calibri" w:cs="Calibri" w:eastAsia="Calibri" w:hAnsi="Calibri"/>
          <w:b/>
          <w:bCs/>
          <w:caps/>
          <w:spacing w:val="30"/>
          <w:sz w:val="22"/>
          <w:szCs w:val="22"/>
        </w:rPr>
        <w:t xml:space="preserve">Professional Experience</w:t>
      </w:r>
    </w:p>
    <w:p>
      <w:pPr>
        <w:spacing w:before="160" w:after="1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Social Media Advisor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, 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Mustang Media Group</w:t>
      </w:r>
    </w:p>
    <w:p>
      <w:pPr>
        <w:spacing w:before="0" w:after="5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San Luis Obispo, CA  ∙  May 2024 – June 2025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Led real-time multi-platform coverage during election night, driving a 65% spike in engagement across Instagram Stories, live polls, and Twitter/X, executing under tight deadlines with accuracy and editorial confidence.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Identified content gaps and independently developed two recurring branded series (Mini Mic Monday, Sunday Quizzes), building a consistent weekly rhythm that expanded organic reach and deepened audience loyalty.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Tracked and interpreted platform analytics to continuously refine content strategy, demonstrating a data-informed approach to storytelling and campaign optimization.</w:t>
      </w:r>
    </w:p>
    <w:p>
      <w:pPr>
        <w:spacing w:before="160" w:after="1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Social Media Coordinator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, 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PRSSA — Cal Poly Chapter</w:t>
      </w:r>
    </w:p>
    <w:p>
      <w:pPr>
        <w:spacing w:before="0" w:after="5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San Luis Obispo, CA  ∙  May 2024 – October 2025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Built and maintained a structured content calendar governing all chapter communications, ensuring brand consistency across platforms while driving measurable growth in event attendance and follower engagement.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Managed end-to-end speaker coordination: identifying and vetting professionals, handling outreach and scheduling, and overseeing all logistics through execution, demonstrating strong project management and professional communication skills.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Designed visually cohesive branded graphics and promotional materials in Adobe InDesign, elevating the chapter’s visual identity and strengthening its reputation within the university community.</w:t>
      </w:r>
    </w:p>
    <w:p>
      <w:pPr>
        <w:spacing w:before="160" w:after="1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Resident Advisor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, </w:t>
      </w: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Cal Poly University Housing</w:t>
      </w:r>
    </w:p>
    <w:p>
      <w:pPr>
        <w:spacing w:before="0" w:after="5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San Luis Obispo, CA  ∙  September 2024 – June 2025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Served as a trusted communicator and community builder for a large, diverse residential population, translating complex policies and sensitive situations into clear, empathetic language that resonated with students.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Designed and executed targeted programming and promotional campaigns that drove resident participation and fostered an inclusive, engaged community environment.</w:t>
      </w:r>
    </w:p>
    <w:p>
      <w:pPr>
        <w:pBdr>
          <w:bottom w:val="single" w:color="000000" w:sz="6" w:space="5"/>
        </w:pBdr>
        <w:spacing w:before="180" w:after="70"/>
      </w:pPr>
      <w:r>
        <w:rPr>
          <w:rFonts w:ascii="Calibri" w:cs="Calibri" w:eastAsia="Calibri" w:hAnsi="Calibri"/>
          <w:b/>
          <w:bCs/>
          <w:caps/>
          <w:spacing w:val="30"/>
          <w:sz w:val="22"/>
          <w:szCs w:val="22"/>
        </w:rPr>
        <w:t xml:space="preserve">Education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California Polytechnic State University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, San Luis Obispo, CA</w:t>
      </w:r>
    </w:p>
    <w:p>
      <w:pPr>
        <w:spacing w:before="0" w:after="20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B.S. Journalism, Public Relations Concentration  |  Dean’s List</w:t>
      </w:r>
    </w:p>
    <w:p>
      <w:pPr>
        <w:spacing w:before="0" w:after="10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Relevant Coursework: PR Writing &amp; Editing, PR Research, Crisis Communication, Strategic Communications</w:t>
      </w:r>
    </w:p>
    <w:p>
      <w:pPr>
        <w:pBdr>
          <w:bottom w:val="single" w:color="000000" w:sz="6" w:space="5"/>
        </w:pBdr>
        <w:spacing w:before="180" w:after="70"/>
      </w:pPr>
      <w:r>
        <w:rPr>
          <w:rFonts w:ascii="Calibri" w:cs="Calibri" w:eastAsia="Calibri" w:hAnsi="Calibri"/>
          <w:b/>
          <w:bCs/>
          <w:caps/>
          <w:spacing w:val="30"/>
          <w:sz w:val="22"/>
          <w:szCs w:val="22"/>
        </w:rPr>
        <w:t xml:space="preserve">Skills &amp; Competencies</w:t>
      </w:r>
    </w:p>
    <w:p>
      <w:pPr>
        <w:spacing w:before="55" w:after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Communications &amp; PR: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Strategic Communications, Brand Messaging, Media Relations, Press Release Writing, Crisis Communication, Copyediting</w:t>
      </w:r>
    </w:p>
    <w:p>
      <w:pPr>
        <w:spacing w:before="55" w:after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Digital &amp; Social: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Social Media Strategy, Content Creation, Campaign Management, Analytics &amp; Reporting, Audience Growth, Trend Forecasting</w:t>
      </w:r>
    </w:p>
    <w:p>
      <w:pPr>
        <w:spacing w:before="55" w:after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Tools: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Adobe InDesign, Adobe Premiere Pro, Canva, Microsoft Office Suite, Qualtrics, Google Analytics</w:t>
      </w:r>
    </w:p>
    <w:p>
      <w:pPr>
        <w:spacing w:before="55" w:after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Bilingual: English &amp; Spanish (Written and Verbal)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2026-03-10T07:26:06.300Z</dcterms:created>
  <dcterms:modified xsi:type="dcterms:W3CDTF">2026-03-10T07:26:06.300Z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